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6F" w:rsidRPr="0035066F" w:rsidRDefault="0035066F" w:rsidP="0035066F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8"/>
          <w:szCs w:val="28"/>
        </w:rPr>
      </w:pPr>
      <w:bookmarkStart w:id="0" w:name="_GoBack"/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Thủ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tục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xác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nhận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hoàn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thành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nghĩa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vụ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nộp</w:t>
      </w:r>
      <w:proofErr w:type="spellEnd"/>
      <w:r w:rsidRPr="0035066F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35066F">
        <w:rPr>
          <w:rFonts w:ascii="Arial" w:hAnsi="Arial" w:cs="Arial"/>
          <w:i w:val="0"/>
          <w:color w:val="337AB7"/>
          <w:sz w:val="28"/>
          <w:szCs w:val="28"/>
        </w:rPr>
        <w:t>thuế</w:t>
      </w:r>
      <w:proofErr w:type="spellEnd"/>
    </w:p>
    <w:bookmarkEnd w:id="0"/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nghĩa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thuế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nghĩa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qua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nghĩa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(01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dung: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++ Nội dung,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 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 xml:space="preserve"> 05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TTHC: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nghĩa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nghĩa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chưa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78/2006/QH11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29/11/2006,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21/2012/QH13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20/11/2012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sửa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đổi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83/2013/NĐ-CP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22/7/2013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Sửa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đổi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35066F" w:rsidRDefault="0035066F" w:rsidP="003506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140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D5" w:rsidRDefault="003D65D5" w:rsidP="00181492">
      <w:pPr>
        <w:spacing w:after="0" w:line="240" w:lineRule="auto"/>
      </w:pPr>
      <w:r>
        <w:separator/>
      </w:r>
    </w:p>
  </w:endnote>
  <w:endnote w:type="continuationSeparator" w:id="0">
    <w:p w:rsidR="003D65D5" w:rsidRDefault="003D65D5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D5" w:rsidRDefault="003D65D5" w:rsidP="00181492">
      <w:pPr>
        <w:spacing w:after="0" w:line="240" w:lineRule="auto"/>
      </w:pPr>
      <w:r>
        <w:separator/>
      </w:r>
    </w:p>
  </w:footnote>
  <w:footnote w:type="continuationSeparator" w:id="0">
    <w:p w:rsidR="003D65D5" w:rsidRDefault="003D65D5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5066F"/>
    <w:rsid w:val="003D65D5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6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5066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2021-08-13T10:36:00Z</dcterms:modified>
</cp:coreProperties>
</file>