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82D" w:rsidRPr="0083082D" w:rsidRDefault="0083082D" w:rsidP="0083082D">
      <w:pPr>
        <w:pStyle w:val="Heading4"/>
        <w:pBdr>
          <w:bottom w:val="single" w:sz="6" w:space="8" w:color="DDDDDD"/>
        </w:pBdr>
        <w:shd w:val="clear" w:color="auto" w:fill="FFFFFF"/>
        <w:spacing w:before="300" w:after="300"/>
        <w:jc w:val="center"/>
        <w:rPr>
          <w:rFonts w:ascii="Arial" w:hAnsi="Arial" w:cs="Arial"/>
          <w:i w:val="0"/>
          <w:color w:val="337AB7"/>
          <w:sz w:val="27"/>
          <w:szCs w:val="27"/>
        </w:rPr>
      </w:pPr>
      <w:r w:rsidRPr="0083082D">
        <w:rPr>
          <w:rFonts w:ascii="Arial" w:hAnsi="Arial" w:cs="Arial"/>
          <w:i w:val="0"/>
          <w:color w:val="337AB7"/>
          <w:sz w:val="27"/>
          <w:szCs w:val="27"/>
        </w:rPr>
        <w:t>Hướng dẫn thủ tục nhập khẩu nguyên liệu, vật tư để thực hiện hợp đồng gia công cho thương nhân nước ngoài</w:t>
      </w:r>
      <w:bookmarkStart w:id="0" w:name="_GoBack"/>
      <w:bookmarkEnd w:id="0"/>
    </w:p>
    <w:p w:rsidR="0083082D" w:rsidRDefault="0083082D" w:rsidP="0083082D">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nhập khẩu nguyên liệu, vật tư để thực hiện hợp đồng gia công cho thương nhân nước ngoài</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Doanh nghiệp làm thủ tục hải quan nhập khẩu nguyên liệu, vật tư để thực hiện hợp đồng gia công cho thương nhân nước ngoài</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và các chứng từ thuộc hồ sơ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Căn cứ quyết định kiểm tra hải quan được Hệ thống tự động thông báo, việc xử lý được thực hiện: Chấp nhận thông tin khai Tờ khai hải quan và quyết định thông quan hàng hóa.</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các chứng từ liên quan thuộc hồ sơ hải quan do người khai hải quan nộp, xuất trình hoặc các chứng từ có liên quan trên cổng thông tin một cửa quốc gia để quyết định việc thông quan hàng hóa hoặc kiểm tra thực tế hàng hóa để quyết định thông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Thông quan hàng hóa.</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 </w:t>
      </w:r>
      <w:r>
        <w:rPr>
          <w:rFonts w:ascii="Arial" w:hAnsi="Arial" w:cs="Arial"/>
          <w:color w:val="333333"/>
          <w:sz w:val="21"/>
          <w:szCs w:val="21"/>
        </w:rPr>
        <w:t>khoản 2 Điều 16 Thông tư số 38/2015/TT-BTC</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Thành phần: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này;</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xuất khẩu một lần hoặc 01 bản chụp kèm theo Phiếu theo dõi trừ lùi nếu xuất khẩu nhiều lần;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của Bộ Tài chính quy định về việc xác định trị giá hải quan đối với hàng hóa xuất khẩu, nhập khẩu;</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hồ sơ chậm nhất là 02 giờ làm việc kể từ thời điểm cơ quan hải quan tiếp nhận đầy đủ hồ sơ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Hoàn thành việc kiểm tra thực tế hàng hóa chậm nhất là 08 giờ làm việc kể từ thời điểm người khai hải quan xuất trình đầy đủ hàng hóa cho cơ quan hải quan. Trường hợp hàng hóa thuộc đối tượng kiểm tra chuyên ngành về chất lượng, y tế, văn hóa, kiểm dịch động vật, thực vật, an toàn thực phẩm theo quy định của pháp luật có liên quan thì thời hạn hoàn thành kiểm tra thực tế hàng hóa được tính từ thời điểm nhận được kết quả kiểm tra chuyên ngành theo quy định.</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lô hàng có số lượng lớn, nhiều chủng loại hoặc việc kiểm tra phức tạp thì Thủ trưởng cơ quan hải quan nơi làm thủ tục hải quan quyết định việc gia hạn thời gian kiểm tra thực tế hàng hóa, nhưng thời gian gia hạn tối đa không quá 02 ngày.</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a) Cơ quan có thẩm quyền quyết định: Chi cục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 Cơ quan hoặc người có thẩm quyền hoặc phân cấp thực hiện (nếu có): không;</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Chi cục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thông quan hàng hóa nhập khẩu.</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lệ phí hải quan 20.000 đồng/ tờ khai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r>
        <w:rPr>
          <w:rFonts w:ascii="Arial" w:hAnsi="Arial" w:cs="Arial"/>
          <w:color w:val="333333"/>
          <w:sz w:val="21"/>
          <w:szCs w:val="21"/>
        </w:rPr>
        <w:t xml:space="preserve"> HQ/2015/NK Phụ lục IV ban hành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số 38/2015/TT-BTC</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rPr>
        <w:t>- </w:t>
      </w:r>
      <w:r>
        <w:rPr>
          <w:rStyle w:val="Strong"/>
          <w:rFonts w:ascii="Arial" w:hAnsi="Arial" w:cs="Arial"/>
          <w:color w:val="333333"/>
          <w:sz w:val="21"/>
          <w:szCs w:val="21"/>
        </w:rPr>
        <w:t>Yêu cầu, điều kiện thực hiện thủ tục hành chính:</w:t>
      </w:r>
      <w:r>
        <w:rPr>
          <w:rFonts w:ascii="Arial" w:hAnsi="Arial" w:cs="Arial"/>
          <w:color w:val="333333"/>
          <w:sz w:val="21"/>
          <w:szCs w:val="21"/>
        </w:rPr>
        <w:t> không.</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r>
        <w:rPr>
          <w:rFonts w:ascii="Arial" w:hAnsi="Arial" w:cs="Arial"/>
          <w:color w:val="333333"/>
          <w:sz w:val="21"/>
          <w:szCs w:val="21"/>
        </w:rPr>
        <w:t>:</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60 Luật Hải quan số 54/2014/QH13 ngày 23 tháng 6 năm 2014;</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36 đến Điều 41 Nghị định số 08/2015/NĐ-CP ngày 21/1/2015 của Chính phủ quy định chi tiết và biện pháp thi hành Luật Hải quan về thủ tục hải quan, kiểm tra, giám sát, kiểm soát hải quan;</w:t>
      </w:r>
    </w:p>
    <w:p w:rsidR="0083082D" w:rsidRDefault="0083082D" w:rsidP="0083082D">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2C9" w:rsidRDefault="007A62C9" w:rsidP="00181492">
      <w:pPr>
        <w:spacing w:after="0" w:line="240" w:lineRule="auto"/>
      </w:pPr>
      <w:r>
        <w:separator/>
      </w:r>
    </w:p>
  </w:endnote>
  <w:endnote w:type="continuationSeparator" w:id="0">
    <w:p w:rsidR="007A62C9" w:rsidRDefault="007A62C9"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2C9" w:rsidRDefault="007A62C9" w:rsidP="00181492">
      <w:pPr>
        <w:spacing w:after="0" w:line="240" w:lineRule="auto"/>
      </w:pPr>
      <w:r>
        <w:separator/>
      </w:r>
    </w:p>
  </w:footnote>
  <w:footnote w:type="continuationSeparator" w:id="0">
    <w:p w:rsidR="007A62C9" w:rsidRDefault="007A62C9"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7A62C9"/>
    <w:rsid w:val="0083082D"/>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308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83082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39612">
      <w:bodyDiv w:val="1"/>
      <w:marLeft w:val="0"/>
      <w:marRight w:val="0"/>
      <w:marTop w:val="0"/>
      <w:marBottom w:val="0"/>
      <w:divBdr>
        <w:top w:val="none" w:sz="0" w:space="0" w:color="auto"/>
        <w:left w:val="none" w:sz="0" w:space="0" w:color="auto"/>
        <w:bottom w:val="none" w:sz="0" w:space="0" w:color="auto"/>
        <w:right w:val="none" w:sz="0" w:space="0" w:color="auto"/>
      </w:divBdr>
    </w:div>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801</Words>
  <Characters>4569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2021-08-11T01:27:00Z</dcterms:modified>
</cp:coreProperties>
</file>