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B9C" w:rsidRPr="00655B9C" w:rsidRDefault="00655B9C" w:rsidP="00655B9C">
      <w:pPr>
        <w:pStyle w:val="Heading4"/>
        <w:pBdr>
          <w:bottom w:val="single" w:sz="6" w:space="8" w:color="DDDDDD"/>
        </w:pBdr>
        <w:shd w:val="clear" w:color="auto" w:fill="FFFFFF"/>
        <w:spacing w:before="300" w:after="300"/>
        <w:jc w:val="both"/>
        <w:rPr>
          <w:rFonts w:ascii="Arial" w:hAnsi="Arial" w:cs="Arial"/>
          <w:i w:val="0"/>
          <w:color w:val="337AB7"/>
          <w:sz w:val="27"/>
          <w:szCs w:val="27"/>
        </w:rPr>
      </w:pPr>
      <w:r w:rsidRPr="00655B9C">
        <w:rPr>
          <w:rFonts w:ascii="Arial" w:hAnsi="Arial" w:cs="Arial"/>
          <w:i w:val="0"/>
          <w:color w:val="337AB7"/>
          <w:sz w:val="27"/>
          <w:szCs w:val="27"/>
        </w:rPr>
        <w:t>Hướng dẫn thủ tục giao nhận sản phẩm gia công chuyển tiếp</w:t>
      </w:r>
      <w:bookmarkStart w:id="0" w:name="_GoBack"/>
      <w:bookmarkEnd w:id="0"/>
    </w:p>
    <w:p w:rsidR="00655B9C" w:rsidRDefault="00655B9C" w:rsidP="00655B9C">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giao nhận sản phẩm gia công chuyển tiếp</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Như đối với loại hình xuất khẩu, nhập khẩu tại chỗ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tại Điều 86 Thông tư số 38/2015/TT-BTC, cụ thể:</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u w:val="single"/>
        </w:rPr>
        <w:t>Đối với người xuất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Khai thông tin tờ khai hàng hóa xuất khẩu và khai vận chuyển kết hợp, trong đó ghi rõ vào ô “Điểm đích cho vận chuyển bảo thuế” là mã địa điểm của Chi cục Hải quan làm thủ tục hải quan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Bước 2: Thực hiện thủ tục xuất khẩu hàng hóa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Giao hàng hóa cho người nhập khẩu sau khi hàng hóa xuất khẩu đã được thông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u w:val="single"/>
        </w:rPr>
        <w:t>Đối với người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Khai thông tin tờ khai hàng hóa nhập khẩu theo đúng thời hạn quy định trong đó ghi rõ số tờ khai hàng hóa xuất khẩu tại chỗ tương ứng tại ô “Phần ghi chú” trên tờ khai hàng hóa nhập khẩu hoặc ô “Ghi chép khác” trên tờ khai hải quan giấy;</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Bước 2: Thực hiện thủ tục nhập khẩu hàng hóa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Emphasis"/>
          <w:rFonts w:ascii="Arial" w:hAnsi="Arial" w:cs="Arial"/>
          <w:color w:val="333333"/>
          <w:sz w:val="21"/>
          <w:szCs w:val="21"/>
          <w:u w:val="single"/>
        </w:rPr>
        <w:t>Đối với cơ quan Hải quan làm thủ tục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Theo dõi những tờ khai hàng hóa xuất khẩu tại chỗ đã hoàn thành thủ tục hải quan để thực hiện thủ tục hải quan đối với hàng hóa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Bước 2: Tiếp nhận, kiểm tra </w:t>
      </w:r>
      <w:proofErr w:type="gramStart"/>
      <w:r>
        <w:rPr>
          <w:rFonts w:ascii="Arial" w:hAnsi="Arial" w:cs="Arial"/>
          <w:color w:val="333333"/>
          <w:sz w:val="21"/>
          <w:szCs w:val="21"/>
        </w:rPr>
        <w:t>theo</w:t>
      </w:r>
      <w:proofErr w:type="gramEnd"/>
      <w:r>
        <w:rPr>
          <w:rFonts w:ascii="Arial" w:hAnsi="Arial" w:cs="Arial"/>
          <w:color w:val="333333"/>
          <w:sz w:val="21"/>
          <w:szCs w:val="21"/>
        </w:rPr>
        <w:t xml:space="preserve"> kết quả phân luồng của Hệ thống.</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Bước 3: Đối với hàng hóa xuất khẩu, nhập khẩu tại chỗ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chỉ định của thương nhân nước ngoài thì hàng tháng tổng hợp và lập danh sách các tờ khai hàng hóa nhập khẩu tại chỗ đã được thông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hàng hóa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số 38/2015/TT-BTC.</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số 38/2015/TT-BTC;</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Hóa đơn thương mại trong trường hợp người mua phải thanh toán cho người bán: 01 bản chụp;</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Vận tải đơn hoặc các chứng từ vận tải khác có giá trị tương đương đối với trường hợp hàng hóa vận chuyển bằng đường biển, đường hàng không, đường sắt, vận tải đa phương thức theo quy định của pháp luật (trừ hàng hoá nhập khẩu qua cửa khẩu biên giới đường bộ, hàng hoá mua bán giữa khu phi thuế quan và nội địa, hàng hóa nhập khẩu do người nhập cảnh mang theo đường hành lý): 01 bản chụp;</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lastRenderedPageBreak/>
        <w:t xml:space="preserve">+ Giấy phép nhập khẩu đối với hàng hóa phải có giấy phép nhập khẩu; Giấy phép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hạn ngạch thuế quan: 01 bản chính nếu xuất khẩu một lần hoặc 01 bản chụp kèm theo Phiếu theo dõi trừ lùi nếu xuất khẩu nhiều lần;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Đối với chứng từ quy định tại điểm d, điểm đ khoản này, nếu áp dụng cơ chế một cửa quốc gia, cơ quan quản lý nhà nước chuyên ngành gửi giấy phép nhập khẩu, văn bản thông báo kết quả kiểm tra, miễn kiểm tra chuyên ngành dưới dạng điện tử thông qua Cổng thông tin một cửa quốc gia, người khai hải quan không phải nộp khi làm thủ tục hải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trị giá: Người khai hải quan khai tờ khai trị giá </w:t>
      </w:r>
      <w:proofErr w:type="gramStart"/>
      <w:r>
        <w:rPr>
          <w:rFonts w:ascii="Arial" w:hAnsi="Arial" w:cs="Arial"/>
          <w:color w:val="333333"/>
          <w:sz w:val="21"/>
          <w:szCs w:val="21"/>
        </w:rPr>
        <w:t>theo</w:t>
      </w:r>
      <w:proofErr w:type="gramEnd"/>
      <w:r>
        <w:rPr>
          <w:rFonts w:ascii="Arial" w:hAnsi="Arial" w:cs="Arial"/>
          <w:color w:val="333333"/>
          <w:sz w:val="21"/>
          <w:szCs w:val="21"/>
        </w:rPr>
        <w:t xml:space="preserve"> mẫu, gửi đến Hệ thống dưới dạng dữ liệu điện tử hoặc nộp cho cơ quan hải quan 02 bản chính (đối với trường hợp khai trên tờ khai hải quan giấy). Các trường hợp phải khai tờ khai trị giá và mẫu tờ khai trị giá thực hiện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Thông tư của Bộ Tài chính quy định về việc xác định trị giá hải quan đối với hàng hóa xuất khẩu,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Chứng từ chứng nhận xuất xứ hàng hóa (Giấy chứng nhận xuất xứ hàng hóa hoặc Chứng từ tự chứng nhận xuất xứ): 01 bản chính hoặc chứng từ dưới dạng dữ liệu điện tử.</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Đối với hàng hóa xuất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xuất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này.</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xuất khẩu theo mẫu HQ/2015/XK Phụ lục IV ban hành kèm Thông tư này;</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phép xuất khẩu đối với hàng hóa phải có giấy phép xuất khẩu: 01 bản chính nếu xuất khẩu một lần hoặc 01 bản chụp kèm </w:t>
      </w:r>
      <w:proofErr w:type="gramStart"/>
      <w:r>
        <w:rPr>
          <w:rFonts w:ascii="Arial" w:hAnsi="Arial" w:cs="Arial"/>
          <w:color w:val="333333"/>
          <w:sz w:val="21"/>
          <w:szCs w:val="21"/>
        </w:rPr>
        <w:t>theo</w:t>
      </w:r>
      <w:proofErr w:type="gramEnd"/>
      <w:r>
        <w:rPr>
          <w:rFonts w:ascii="Arial" w:hAnsi="Arial" w:cs="Arial"/>
          <w:color w:val="333333"/>
          <w:sz w:val="21"/>
          <w:szCs w:val="21"/>
        </w:rPr>
        <w:t xml:space="preserve"> Phiếu theo dõi trừ lùi nếu xuất khẩu nhiều lần;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Giấy thông báo miễn kiểm tra hoặc giấy thông báo kết quả kiểm tra của cơ quan kiểm tra chuyên ngành </w:t>
      </w:r>
      <w:proofErr w:type="gramStart"/>
      <w:r>
        <w:rPr>
          <w:rFonts w:ascii="Arial" w:hAnsi="Arial" w:cs="Arial"/>
          <w:color w:val="333333"/>
          <w:sz w:val="21"/>
          <w:szCs w:val="21"/>
        </w:rPr>
        <w:t>theo</w:t>
      </w:r>
      <w:proofErr w:type="gramEnd"/>
      <w:r>
        <w:rPr>
          <w:rFonts w:ascii="Arial" w:hAnsi="Arial" w:cs="Arial"/>
          <w:color w:val="333333"/>
          <w:sz w:val="21"/>
          <w:szCs w:val="21"/>
        </w:rPr>
        <w:t xml:space="preserve"> quy định của pháp luật: 01 bản chính.</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*Số lượng: 01 bộ</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w:t>
      </w:r>
      <w:r>
        <w:rPr>
          <w:rFonts w:ascii="Arial" w:hAnsi="Arial" w:cs="Arial"/>
          <w:color w:val="333333"/>
          <w:sz w:val="21"/>
          <w:szCs w:val="21"/>
        </w:rPr>
        <w:t xml:space="preserve">  thông quan </w:t>
      </w:r>
      <w:proofErr w:type="gramStart"/>
      <w:r>
        <w:rPr>
          <w:rFonts w:ascii="Arial" w:hAnsi="Arial" w:cs="Arial"/>
          <w:color w:val="333333"/>
          <w:sz w:val="21"/>
          <w:szCs w:val="21"/>
        </w:rPr>
        <w:t>theo</w:t>
      </w:r>
      <w:proofErr w:type="gramEnd"/>
      <w:r>
        <w:rPr>
          <w:rFonts w:ascii="Arial" w:hAnsi="Arial" w:cs="Arial"/>
          <w:color w:val="333333"/>
          <w:sz w:val="21"/>
          <w:szCs w:val="21"/>
        </w:rPr>
        <w:t xml:space="preserve"> hệ thống; thời hạn làm thủ tục hải quan đối với người nhập khẩu tại chỗ: trong thời hạn 15 ngày làm việc kể từ ngày thông quan hàng hóa xuất khẩu và sau khi hoàn thành việc giao nhận hàng hóa.</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Style w:val="Emphasis"/>
          <w:rFonts w:ascii="Arial" w:hAnsi="Arial" w:cs="Arial"/>
          <w:color w:val="333333"/>
          <w:sz w:val="21"/>
          <w:szCs w:val="21"/>
        </w:rPr>
        <w:t>:</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Kết quả thực hiện thủ tục hành chính:</w:t>
      </w:r>
      <w:r>
        <w:rPr>
          <w:rFonts w:ascii="Arial" w:hAnsi="Arial" w:cs="Arial"/>
          <w:color w:val="333333"/>
          <w:sz w:val="21"/>
          <w:szCs w:val="21"/>
        </w:rPr>
        <w:t> thông quan hàng hóa.</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20.000 đ/tờ khai</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xml:space="preserve">+ Tờ khai hàng hóa xuất khẩu, nhập khẩu </w:t>
      </w:r>
      <w:proofErr w:type="gramStart"/>
      <w:r>
        <w:rPr>
          <w:rFonts w:ascii="Arial" w:hAnsi="Arial" w:cs="Arial"/>
          <w:color w:val="333333"/>
          <w:sz w:val="21"/>
          <w:szCs w:val="21"/>
        </w:rPr>
        <w:t>theo</w:t>
      </w:r>
      <w:proofErr w:type="gramEnd"/>
      <w:r>
        <w:rPr>
          <w:rFonts w:ascii="Arial" w:hAnsi="Arial" w:cs="Arial"/>
          <w:color w:val="333333"/>
          <w:sz w:val="21"/>
          <w:szCs w:val="21"/>
        </w:rPr>
        <w:t xml:space="preserve"> các chỉ tiêu thông tin tại Phụ lục II ban hành kèm Thông tư số 38/2015/TT-BTC.</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Trường hợp thực hiện trên tờ khai hải quan giấy theo quy định tại khoản 2 Điều 25 Nghị định số 08/2015/NĐ-CP, người khai hải quan khai và nộp 02 bản chính tờ khai hàng hóa nhập khẩu theo mẫu HQ/2015/NK Phụ lục IV ban hành kèm Thông tư số 38/2015/TT-BTC;</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w:t>
      </w:r>
      <w:r>
        <w:rPr>
          <w:rFonts w:ascii="Arial" w:hAnsi="Arial" w:cs="Arial"/>
          <w:color w:val="333333"/>
          <w:sz w:val="21"/>
          <w:szCs w:val="21"/>
        </w:rPr>
        <w:t>: không</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60 Luật Hải quan số 54/2014/QH13 ngày 23 tháng 6 năm 2014;</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Điều 36 đến Điều 41 Nghị định số 08/2015/NĐ-CP ngày 21/1/2015 của Chính phủ quy định chi tiết và biện pháp thi hành Luật Hải quan về thủ tục hải quan, kiểm tra, giám sát, kiểm soát hải quan;</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655B9C" w:rsidRDefault="00655B9C" w:rsidP="00655B9C">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1573" w:rsidRDefault="002A1573" w:rsidP="00181492">
      <w:pPr>
        <w:spacing w:after="0" w:line="240" w:lineRule="auto"/>
      </w:pPr>
      <w:r>
        <w:separator/>
      </w:r>
    </w:p>
  </w:endnote>
  <w:endnote w:type="continuationSeparator" w:id="0">
    <w:p w:rsidR="002A1573" w:rsidRDefault="002A1573"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1573" w:rsidRDefault="002A1573" w:rsidP="00181492">
      <w:pPr>
        <w:spacing w:after="0" w:line="240" w:lineRule="auto"/>
      </w:pPr>
      <w:r>
        <w:separator/>
      </w:r>
    </w:p>
  </w:footnote>
  <w:footnote w:type="continuationSeparator" w:id="0">
    <w:p w:rsidR="002A1573" w:rsidRDefault="002A1573"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181492"/>
    <w:rsid w:val="001D1850"/>
    <w:rsid w:val="001E11C7"/>
    <w:rsid w:val="002352AF"/>
    <w:rsid w:val="002A1573"/>
    <w:rsid w:val="00655B9C"/>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55B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655B9C"/>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209979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888</Words>
  <Characters>5068</Characters>
  <Application>Microsoft Office Word</Application>
  <DocSecurity>0</DocSecurity>
  <Lines>42</Lines>
  <Paragraphs>11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7</cp:revision>
  <dcterms:created xsi:type="dcterms:W3CDTF">2021-08-10T01:37:00Z</dcterms:created>
  <dcterms:modified xsi:type="dcterms:W3CDTF">2021-08-11T01:31:00Z</dcterms:modified>
</cp:coreProperties>
</file>