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27" w:rsidRPr="005B5527" w:rsidRDefault="005B5527" w:rsidP="005B5527">
      <w:pPr>
        <w:pStyle w:val="Heading4"/>
        <w:pBdr>
          <w:bottom w:val="single" w:sz="6" w:space="8" w:color="DDDDDD"/>
        </w:pBdr>
        <w:shd w:val="clear" w:color="auto" w:fill="FFFFFF"/>
        <w:spacing w:before="300" w:after="300"/>
        <w:jc w:val="both"/>
        <w:rPr>
          <w:rFonts w:ascii="Arial" w:hAnsi="Arial" w:cs="Arial"/>
          <w:i w:val="0"/>
          <w:color w:val="337AB7"/>
          <w:sz w:val="27"/>
          <w:szCs w:val="27"/>
        </w:rPr>
      </w:pPr>
      <w:bookmarkStart w:id="0" w:name="_GoBack"/>
      <w:r w:rsidRPr="005B5527">
        <w:rPr>
          <w:rFonts w:ascii="Arial" w:hAnsi="Arial" w:cs="Arial"/>
          <w:i w:val="0"/>
          <w:color w:val="337AB7"/>
          <w:sz w:val="27"/>
          <w:szCs w:val="27"/>
        </w:rPr>
        <w:t>Hướng dẫn thủ tục nhập khẩu sản phẩm đặt gia công ở nước ngoài</w:t>
      </w:r>
    </w:p>
    <w:bookmarkEnd w:id="0"/>
    <w:p w:rsidR="005B5527" w:rsidRDefault="005B5527" w:rsidP="005B5527">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nhập khẩu sản phẩm đặt gia công ở nước ngoài</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Tổ chức, cá nhân thực hiện thủ tục nhập khẩu tại Chi cục Hải quan nơi đã làm thủ tục xuất khẩu</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2: Thông tin trên tờ khai hải quan được Hệ thống tự động kiểm tra để đánh giá các điều kiện được chấp nhận đăng ký tờ khai hải quan. Trường hợp khai hải quan trên tờ khai hải quan giấy, công chức hải quan thực hiện kiểm tra điều kiện đăng ký tờ khai quy định tại khoản này và các chứng từ thuộc hồ sơ hải quan.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3: Căn cứ quyết định kiểm tra hải quan được Hệ thống tự động thông báo, việc xử lý được thực hiện: Chấp nhận thông tin khai Tờ khai hải quan và quyết định thông quan hàng hóa.</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Cơ quan hải quan kiểm tra các chứng từ liên quan thuộc hồ sơ hải quan do người khai hải quan nộp, xuất trình hoặc các chứng từ có liên quan trên cổng thông tin một cửa quốc gia để quyết định việc thông quan hàng hóa hoặc kiểm tra thực tế hàng hóa để quyết định thông quan.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4: Thông quan hàng hóa.</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điện tử, thủ công</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Thành phần: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này.</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nhập khẩu theo mẫu HQ/2015/NK Phụ lục IV ban hành kèm Thông tư này;</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Hóa đơn thương mại trong trường hợp người mua phải thanh toán cho người bán: 01 bản chụp;</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phép nhập khẩu đối với hàng hóa phải có giấy phép nhập khẩu; Giấy phép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hạn ngạch thuế quan: 01 bản chính nếu xuất khẩu một lần hoặc 01 bản chụp kèm theo Phiếu theo dõi trừ lùi nếu xuất khẩu nhiều lần;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d, điểm đ khoản này, nếu áp dụng cơ chế một cửa quốc gia, cơ quan quản lý nhà nước chuyên ngành gửi giấy phép nhập khẩu, văn bản thông báo kết quả kiểm tra, miễn kiểm tra chuyên ngành dưới dạng điện tử thông qua Cổng thông tin một cửa quốc gia, người khai hải quan không phải nộp khi làm thủ tục hải quan;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Tờ khai trị giá: Người khai hải quan khai tờ khai trị giá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w:t>
      </w:r>
      <w:r>
        <w:rPr>
          <w:rFonts w:ascii="Arial" w:hAnsi="Arial" w:cs="Arial"/>
          <w:color w:val="333333"/>
          <w:sz w:val="21"/>
          <w:szCs w:val="21"/>
        </w:rPr>
        <w:lastRenderedPageBreak/>
        <w:t>tư của Bộ Tài chính quy định về việc xác định trị giá hải quan đối với hàng hóa xuất khẩu, nhập khẩu;</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Chứng từ chứng nhận xuất xứ hàng hóa (Giấy chứng nhận xuất xứ hàng hóa hoặc Chứng từ tự chứng nhận xuất xứ): 01 bản chính hoặc chứng từ dưới dạng dữ liệu điện tử.</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lượng: 01 bộ</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Hoàn thành việc kiểm tra hồ sơ chậm nhất là 02 giờ làm việc kể từ thời điểm cơ quan hải quan tiếp nhận đầy đủ hồ sơ hải quan;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Hoàn thành việc kiểm tra thực tế hàng hóa chậm nhất là 08 giờ làm việc kể từ thời điểm người khai hải quan xuất trình đầy đủ hàng hóa cho cơ quan hải quan. Trường hợp hàng hóa thuộc đối tượng kiểm tra chuyên ngành về chất lượng, y tế, văn hóa, kiểm dịch động vật, thực vật, an toàn thực phẩm theo quy định của pháp luật có liên quan thì thời hạn hoàn thành kiểm tra thực tế hàng hóa được tính từ thời điểm nhận được kết quả kiểm tra chuyên ngành theo quy định.</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lô hàng có số lượng lớn, nhiều chủng loại hoặc việc kiểm tra phức tạp thì Thủ trưởng cơ quan hải quan nơi làm thủ tục hải quan quyết định việc gia hạn thời gian kiểm tra thực tế hàng hóa, nhưng thời gian gia hạn tối đa không quá 02 ngày</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hoặc phân cấp thực hiện (nếu có): không;</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Không</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Thông quan hàng hóa</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Lệ phí (nếu có):</w:t>
      </w:r>
      <w:r>
        <w:rPr>
          <w:rFonts w:ascii="Arial" w:hAnsi="Arial" w:cs="Arial"/>
          <w:color w:val="333333"/>
          <w:sz w:val="21"/>
          <w:szCs w:val="21"/>
        </w:rPr>
        <w:t> 20.000 đ/tờ khai</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w:t>
      </w:r>
      <w:r>
        <w:rPr>
          <w:rStyle w:val="Strong"/>
          <w:rFonts w:ascii="Arial" w:hAnsi="Arial" w:cs="Arial"/>
          <w:color w:val="333333"/>
          <w:sz w:val="21"/>
          <w:szCs w:val="21"/>
        </w:rPr>
        <w:t>Tên mẫu đơn, mẫu tờ khai</w:t>
      </w:r>
      <w:r>
        <w:rPr>
          <w:rFonts w:ascii="Arial" w:hAnsi="Arial" w:cs="Arial"/>
          <w:color w:val="333333"/>
          <w:sz w:val="21"/>
          <w:szCs w:val="21"/>
        </w:rPr>
        <w:t xml:space="preserve">: Tờ khai hàng hóa xuất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HQ/2015/XK Phụ lục IV ban hành kèm Thông tư số 38/2015/TT-BTC</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Fonts w:ascii="Arial" w:hAnsi="Arial" w:cs="Arial"/>
          <w:color w:val="333333"/>
          <w:sz w:val="21"/>
          <w:szCs w:val="21"/>
        </w:rPr>
        <w:t>:</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Hải quan số 54/2014/QH13 ngày 23 tháng 6 năm 2014;</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Khoản 2 Điều 25 Nghị định số 08/2015/NĐ-CP ngày 21/1/2015 của Chính phủ quy định chi tiết và biện pháp thi hành Luật Hải quan về thủ tục hải quan, kiểm tra, giám sát, kiểm soát hải quan;</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Thông tư số 38/2015/TT-BTC ngày 25/3/2015 quy định về thủ tục hải quan; kiểm tra, giám sát hải quan; thuế xuất khẩu, thuế nhập khẩu và quản lý thuế đối với hàng hoá xuất khẩu, nhập khẩu.</w:t>
      </w:r>
    </w:p>
    <w:p w:rsidR="005B5527" w:rsidRDefault="005B5527" w:rsidP="005B552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87" w:rsidRDefault="00470287" w:rsidP="00181492">
      <w:pPr>
        <w:spacing w:after="0" w:line="240" w:lineRule="auto"/>
      </w:pPr>
      <w:r>
        <w:separator/>
      </w:r>
    </w:p>
  </w:endnote>
  <w:endnote w:type="continuationSeparator" w:id="0">
    <w:p w:rsidR="00470287" w:rsidRDefault="00470287"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87" w:rsidRDefault="00470287" w:rsidP="00181492">
      <w:pPr>
        <w:spacing w:after="0" w:line="240" w:lineRule="auto"/>
      </w:pPr>
      <w:r>
        <w:separator/>
      </w:r>
    </w:p>
  </w:footnote>
  <w:footnote w:type="continuationSeparator" w:id="0">
    <w:p w:rsidR="00470287" w:rsidRDefault="00470287"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470287"/>
    <w:rsid w:val="005B5527"/>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B55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B552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5126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2021-08-11T01:33:00Z</dcterms:modified>
</cp:coreProperties>
</file>