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9E" w:rsidRPr="00EA059E" w:rsidRDefault="00EA059E" w:rsidP="00EA059E">
      <w:pPr>
        <w:pStyle w:val="Heading4"/>
        <w:pBdr>
          <w:bottom w:val="single" w:sz="6" w:space="8" w:color="DDDDDD"/>
        </w:pBdr>
        <w:shd w:val="clear" w:color="auto" w:fill="FFFFFF"/>
        <w:spacing w:before="300" w:after="300"/>
        <w:jc w:val="both"/>
        <w:rPr>
          <w:rFonts w:ascii="Arial" w:hAnsi="Arial" w:cs="Arial"/>
          <w:i w:val="0"/>
          <w:color w:val="337AB7"/>
          <w:sz w:val="27"/>
          <w:szCs w:val="27"/>
        </w:rPr>
      </w:pPr>
      <w:r w:rsidRPr="00EA059E">
        <w:rPr>
          <w:rFonts w:ascii="Arial" w:hAnsi="Arial" w:cs="Arial"/>
          <w:i w:val="0"/>
          <w:color w:val="337AB7"/>
          <w:sz w:val="27"/>
          <w:szCs w:val="27"/>
        </w:rPr>
        <w:t>Hướng dẫn thủ tục tạm xuất sản phẩm gia công ra nước ngoài để tái chế sau đó tại nhập trở lại Việt Nam</w:t>
      </w:r>
    </w:p>
    <w:p w:rsidR="00EA059E" w:rsidRDefault="00EA059E" w:rsidP="00EA059E">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tạm xuất sản phẩm gia công ra nước ngoài để tái chế sau đó tại nhập trở lại Việt Nam</w:t>
      </w:r>
      <w:bookmarkStart w:id="0" w:name="_GoBack"/>
      <w:bookmarkEnd w:id="0"/>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Tổ chức, cá nhân thực hiện thủ tục xuất khẩu nguyên liệu, vật tư tại 01 Chi cục Hải quan thuận tiện.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Thông tin trên tờ khai hải quan được Hệ thống tự động kiểm tra để đánh giá các điều kiện được chấp nhận đăng ký tờ khai hải quan. Trường hợp khai hải quan trên tờ khai hải quan giấy, công chức hải quan thực hiện kiểm tra điều kiện đăng ký tờ khai quy định tại khoản này và các chứng từ thuộc hồ sơ hải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Căn cứ quyết định kiểm tra hải quan được Hệ thống tự động thông báo, việc xử lý được thực hiện: Chấp nhận thông tin khai Tờ khai hải quan và quyết định thông quan hàng hóa.</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các chứng từ liên quan thuộc hồ sơ hải quan do người khai hải quan nộp, xuất trình hoặc các chứng từ có liên quan trên cổng thông tin một cửa quốc gia để quyết định việc thông quan hàng hóa hoặc kiểm tra thực tế hàng hóa để quyết định thông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4: Thông quan hàng hóa.</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5: Tổ chức, cá nhân thực hiện thủ tục nhập khẩu tại Chi cục Hải quan nơi đã làm thủ tục xuất khẩu</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6: Thông tin trên tờ khai hải quan được Hệ thống tự động kiểm tra để đánh giá các điều kiện được chấp nhận đăng ký tờ khai hải quan. Trường hợp khai hải quan trên tờ khai hải quan giấy, công chức hải quan thực hiện kiểm tra điều kiện đăng ký tờ khai quy định tại khoản này và các chứng từ thuộc hồ sơ hải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7: Căn cứ quyết định kiểm tra hải quan được Hệ thống tự động thông báo, việc xử lý được thực hiện: Chấp nhận thông tin khai Tờ khai hải quan và quyết định thông quan hàng hóa.</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các chứng từ liên quan thuộc hồ sơ hải quan do người khai hải quan nộp, xuất trình hoặc các chứng từ có liên quan trên cổng thông tin một cửa quốc gia để quyết định việc thông quan hàng hóa hoặc kiểm tra thực tế hàng hóa để quyết định thông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8: Thông quan hàng hóa</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 thủ công</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Thành phần: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Tờ khai hàng hóa xuất khẩu theo các chỉ tiêu thông tin tại Phụ lục II ban hành kèm Thông tư này.</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xuất khẩu theo mẫu HQ/2015/XK Phụ lục IV ban hành kèm Thông tư này;</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Giấy phép xuất khẩu đối với hàng hóa phải có giấy phép xuất khẩu: 01 bản chính nếu xuất khẩu một lần hoặc 01 bản chụp kèm theo Phiếu theo dõi trừ lùi nếu xuất khẩu nhiều lần;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Giấy thông báo miễn kiểm tra hoặc giấy thông báo kết quả kiểm tra của cơ quan kiểm tra chuyên ngành theo quy định của pháp luật: 01 bản chính.</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 bộ      </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Tờ khai hàng hóa nhập khẩu theo các chỉ tiêu thông tin tại Phụ lục II ban hành kèm Thông tư số 38/2015/TT-BTC.</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số 38/2015/TT-BTC;</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Hóa đơn thương mại trong trường hợp người mua phải thanh toán cho người bán: 01 bản chụp;</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Giấy phép nhập khẩu đối với hàng hóa phải có giấy phép nhập khẩu; Giấy phép nhập khẩu theo hạn ngạch thuế quan: 01 bản chính nếu xuất khẩu một lần hoặc 01 bản chụp kèm theo Phiếu theo dõi trừ lùi nếu xuất khẩu nhiều lần;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Giấy thông báo miễn kiểm tra hoặc Giấy thông báo kết quả kiểm tra của cơ quan kiểm tra chuyên ngành theo quy định của pháp luật: 01 bản chính.</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khoản này,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Tờ khai trị giá: Người khai hải quan khai tờ khai trị giá theo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theo Thông tư của Bộ Tài chính quy định về việc xác định trị giá hải quan đối với hàng hóa xuất khẩu, nhập khẩu;</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Chứng từ chứng nhận xuất xứ hàng hóa (Giấy chứng nhận xuất xứ hàng hóa hoặc Chứng từ tự chứng nhận xuất xứ): 01 bản chính hoặc chứng từ dưới dạng dữ liệu điện tử.</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 bộ</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 Thời hạn tái chế do tổ chức, cá nhân đăng ký với cơ quan hải quan nhưng không quá 275 ngày kể từ ngày tạm xuất.</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hoặc phân cấp thực hiện (nếu có): không;</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thông quan hàng hóa xuất khẩu, nhập khẩu</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 </w:t>
      </w:r>
      <w:r>
        <w:rPr>
          <w:rFonts w:ascii="Arial" w:hAnsi="Arial" w:cs="Arial"/>
          <w:color w:val="333333"/>
          <w:sz w:val="21"/>
          <w:szCs w:val="21"/>
        </w:rPr>
        <w:t>20.000 đ/tờ khai</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w:t>
      </w:r>
      <w:r>
        <w:rPr>
          <w:rFonts w:ascii="Arial" w:hAnsi="Arial" w:cs="Arial"/>
          <w:color w:val="333333"/>
          <w:sz w:val="21"/>
          <w:szCs w:val="21"/>
        </w:rPr>
        <w:t> tờ khai hàng hóa xuất khẩu theo mẫu HQ/2015/XK, Tờ khai hàng hóa nhập khẩu theo mẫu HQ/2015 Phụ lục IV ban hành kèm Thông tư số 38/2015/TT-BTC.</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Style w:val="Emphasis"/>
          <w:rFonts w:ascii="Arial" w:hAnsi="Arial" w:cs="Arial"/>
          <w:color w:val="333333"/>
          <w:sz w:val="21"/>
          <w:szCs w:val="21"/>
        </w:rPr>
        <w:t>:</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 tháng 6 năm 2014;</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Khoản 2 Điều 25 Nghị định số 08/2015/NĐ-CP ngày 21/1/2015 của Chính phủ quy định chi tiết và biện pháp thi hành Luật Hải quan về thủ tục hải quan, kiểm tra, giám sát, kiểm soát hải quan;</w:t>
      </w:r>
    </w:p>
    <w:p w:rsidR="00EA059E" w:rsidRDefault="00EA059E" w:rsidP="00EA059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12" w:rsidRDefault="00D32C12" w:rsidP="00181492">
      <w:pPr>
        <w:spacing w:after="0" w:line="240" w:lineRule="auto"/>
      </w:pPr>
      <w:r>
        <w:separator/>
      </w:r>
    </w:p>
  </w:endnote>
  <w:endnote w:type="continuationSeparator" w:id="0">
    <w:p w:rsidR="00D32C12" w:rsidRDefault="00D32C12"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12" w:rsidRDefault="00D32C12" w:rsidP="00181492">
      <w:pPr>
        <w:spacing w:after="0" w:line="240" w:lineRule="auto"/>
      </w:pPr>
      <w:r>
        <w:separator/>
      </w:r>
    </w:p>
  </w:footnote>
  <w:footnote w:type="continuationSeparator" w:id="0">
    <w:p w:rsidR="00D32C12" w:rsidRDefault="00D32C12"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9A1B81"/>
    <w:rsid w:val="00AE1A45"/>
    <w:rsid w:val="00D32C12"/>
    <w:rsid w:val="00DB4F82"/>
    <w:rsid w:val="00DF3B7D"/>
    <w:rsid w:val="00EA059E"/>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A05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A059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7657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2021-08-11T01:37:00Z</dcterms:modified>
</cp:coreProperties>
</file>