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CA" w:rsidRPr="006823B4" w:rsidRDefault="00AC0BCA" w:rsidP="00AC0BCA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7"/>
          <w:szCs w:val="27"/>
        </w:rPr>
      </w:pPr>
      <w:bookmarkStart w:id="0" w:name="_GoBack"/>
      <w:r w:rsidRPr="006823B4">
        <w:rPr>
          <w:rFonts w:ascii="Arial" w:hAnsi="Arial" w:cs="Arial"/>
          <w:i w:val="0"/>
          <w:color w:val="337AB7"/>
          <w:sz w:val="27"/>
          <w:szCs w:val="27"/>
        </w:rPr>
        <w:t>THỦ TỤC HẢI QUAN ĐỐI VỚI HÀNG HOÁ XUẤT NHẬP TẠI CHỖ</w:t>
      </w:r>
    </w:p>
    <w:bookmarkEnd w:id="0"/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thuê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mượn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thừa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187/2013/NĐ-CP;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giữa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giữa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2. 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lựa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chọn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giữa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ô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ô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ô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chép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d.1) Theo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d.2)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d.3)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20/TKXNTC/GSQL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cùng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mỗi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GTGT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kiêm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,…),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chịu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giữ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       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C0BCA" w:rsidRDefault="00AC0BCA" w:rsidP="00AC0B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25/03/2015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C0" w:rsidRDefault="00AB25C0" w:rsidP="00181492">
      <w:pPr>
        <w:spacing w:after="0" w:line="240" w:lineRule="auto"/>
      </w:pPr>
      <w:r>
        <w:separator/>
      </w:r>
    </w:p>
  </w:endnote>
  <w:endnote w:type="continuationSeparator" w:id="0">
    <w:p w:rsidR="00AB25C0" w:rsidRDefault="00AB25C0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C0" w:rsidRDefault="00AB25C0" w:rsidP="00181492">
      <w:pPr>
        <w:spacing w:after="0" w:line="240" w:lineRule="auto"/>
      </w:pPr>
      <w:r>
        <w:separator/>
      </w:r>
    </w:p>
  </w:footnote>
  <w:footnote w:type="continuationSeparator" w:id="0">
    <w:p w:rsidR="00AB25C0" w:rsidRDefault="00AB25C0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6823B4"/>
    <w:rsid w:val="009A1B81"/>
    <w:rsid w:val="00AB25C0"/>
    <w:rsid w:val="00AC0BCA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C0BC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8</cp:revision>
  <dcterms:created xsi:type="dcterms:W3CDTF">2021-08-10T01:37:00Z</dcterms:created>
  <dcterms:modified xsi:type="dcterms:W3CDTF">2021-08-11T02:49:00Z</dcterms:modified>
</cp:coreProperties>
</file>