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9C" w:rsidRPr="00655B9C" w:rsidRDefault="00655B9C" w:rsidP="00655B9C">
      <w:pPr>
        <w:pStyle w:val="Heading4"/>
        <w:pBdr>
          <w:bottom w:val="single" w:sz="6" w:space="8" w:color="DDDDDD"/>
        </w:pBdr>
        <w:shd w:val="clear" w:color="auto" w:fill="FFFFFF"/>
        <w:spacing w:before="300" w:after="300"/>
        <w:jc w:val="both"/>
        <w:rPr>
          <w:rFonts w:ascii="Arial" w:hAnsi="Arial" w:cs="Arial"/>
          <w:i w:val="0"/>
          <w:color w:val="337AB7"/>
          <w:sz w:val="27"/>
          <w:szCs w:val="27"/>
        </w:rPr>
      </w:pPr>
      <w:r w:rsidRPr="00655B9C">
        <w:rPr>
          <w:rFonts w:ascii="Arial" w:hAnsi="Arial" w:cs="Arial"/>
          <w:i w:val="0"/>
          <w:color w:val="337AB7"/>
          <w:sz w:val="27"/>
          <w:szCs w:val="27"/>
        </w:rPr>
        <w:t>Hướng dẫn thủ tục giao nhận sản phẩm gia công chuyển tiếp</w:t>
      </w:r>
      <w:bookmarkStart w:id="0" w:name="_GoBack"/>
      <w:bookmarkEnd w:id="0"/>
    </w:p>
    <w:p w:rsidR="00655B9C" w:rsidRDefault="00655B9C" w:rsidP="00655B9C">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giao nhận sản phẩm gia công chuyển tiếp</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Như đối với loại hình xuất khẩu, nhập khẩu tại chỗ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86 Thông tư số 38/2015/TT-BTC, cụ thể:</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u w:val="single"/>
        </w:rPr>
        <w:t>Đối với người xuất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Khai thông tin tờ khai hàng hóa xuất khẩu và khai vận chuyển kết hợp, trong đó ghi rõ vào ô “Điểm đích cho vận chuyển bảo thuế” là mã địa điểm của Chi cục Hải quan làm thủ tục hải quan nhập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Bước 2: Thực hiện thủ tục xuất khẩu hàng hóa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3: Giao hàng hóa cho người nhập khẩu sau khi hàng hóa xuất khẩu đã được thông quan.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u w:val="single"/>
        </w:rPr>
        <w:t>Đối với người nhập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Khai thông tin tờ khai hàng hóa nhập khẩu theo đúng thời hạn quy định trong đó ghi rõ số tờ khai hàng hóa xuất khẩu tại chỗ tương ứng tại ô “Phần ghi chú” trên tờ khai hàng hóa nhập khẩu hoặc ô “Ghi chép khác” trên tờ khai hải quan giấy;</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Bước 2: Thực hiện thủ tục nhập khẩu hàng hóa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u w:val="single"/>
        </w:rPr>
        <w:t>Đối với cơ quan Hải quan làm thủ tục nhập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Theo dõi những tờ khai hàng hóa xuất khẩu tại chỗ đã hoàn thành thủ tục hải quan để thực hiện thủ tục hải quan đối với hàng hóa nhập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Bước 2: Tiếp nhận,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kết quả phân luồng của Hệ thống.</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Bước 3: Đối với hàng hóa xuất khẩu, nhập khẩu tại chỗ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chỉ định của thương nhân nước ngoài thì hàng tháng tổng hợp và lập danh sách các tờ khai hàng hóa nhập khẩu tại chỗ đã được thông quan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điện tử</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hàng hóa nhập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số 38/2015/TT-BTC.</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Thông tư số 38/2015/TT-BTC;</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Hóa đơn thương mại trong trường hợp người mua phải thanh toán cho người bán: 01 bản chụp;</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xml:space="preserve">+ Giấy phép nhập khẩu đối với hàng hóa phải có giấy phép nhập khẩu; Giấy phép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hạn ngạch thuế quan: 01 bản chính nếu xuất khẩu một lần hoặc 01 bản chụp kèm theo Phiếu theo dõi trừ lùi nếu xuất khẩu nhiều lần;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d, điểm đ khoản này, nếu áp dụng cơ chế một cửa quốc gia, cơ quan quản lý nhà nước chuyên ngành gửi giấy phép nhập khẩu, văn bản thông báo kết quả kiểm tra, miễn kiểm tra chuyên ngành dưới dạng điện tử thông qua Cổng thông tin một cửa quốc gia, người khai hải quan không phải nộp khi làm thủ tục hải quan;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trị giá: Người khai hải quan khai tờ khai trị giá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của Bộ Tài chính quy định về việc xác định trị giá hải quan đối với hàng hóa xuất khẩu, nhập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Chứng từ chứng nhận xuất xứ hàng hóa (Giấy chứng nhận xuất xứ hàng hóa hoặc Chứng từ tự chứng nhận xuất xứ): 01 bản chính hoặc chứng từ dưới dạng dữ liệu điện tử.</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hàng hóa xuất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xuất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này.</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xuất khẩu theo mẫu HQ/2015/XK Phụ lục IV ban hành kèm Thông tư này;</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phép xuất khẩu đối với hàng hóa phải có giấy phép xuất khẩu: 01 bản chính nếu xuất khẩu một lần hoặc 01 bản chụp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Phiếu theo dõi trừ lùi nếu xuất khẩu nhiều lần;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*Số lượng: 01 bộ</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r>
        <w:rPr>
          <w:rFonts w:ascii="Arial" w:hAnsi="Arial" w:cs="Arial"/>
          <w:color w:val="333333"/>
          <w:sz w:val="21"/>
          <w:szCs w:val="21"/>
        </w:rPr>
        <w:t xml:space="preserve">  thông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hệ thống; thời hạn làm thủ tục hải quan đối với người nhập khẩu tại chỗ: trong thời hạn 15 ngày làm việc kể từ ngày thông quan hàng hóa xuất khẩu và sau khi hoàn thành việc giao nhận hàng hóa.</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r>
        <w:rPr>
          <w:rStyle w:val="Emphasis"/>
          <w:rFonts w:ascii="Arial" w:hAnsi="Arial" w:cs="Arial"/>
          <w:color w:val="333333"/>
          <w:sz w:val="21"/>
          <w:szCs w:val="21"/>
        </w:rPr>
        <w:t>:</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hoặc phân cấp thực hiện (nếu có): không;</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Không</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thông quan hàng hóa.</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Lệ phí (nếu có):</w:t>
      </w:r>
      <w:r>
        <w:rPr>
          <w:rFonts w:ascii="Arial" w:hAnsi="Arial" w:cs="Arial"/>
          <w:color w:val="333333"/>
          <w:sz w:val="21"/>
          <w:szCs w:val="21"/>
        </w:rPr>
        <w:t> 20.000 đ/tờ khai</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xuất khẩu,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số 38/2015/TT-BTC.</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Thông tư số 38/2015/TT-BTC;</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Điều 60 Luật Hải quan số 54/2014/QH13 ngày 23 tháng 6 năm 2014;</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Điều 36 đến Điều 41 Nghị định số 08/2015/NĐ-CP ngày 21/1/2015 của Chính phủ quy định chi tiết và biện pháp thi hành Luật Hải quan về thủ tục hải quan, kiểm tra, giám sát, kiểm soát hải quan;</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Thông tư số 38/2015/TT-BTC ngày 25/3/2015 quy định về thủ tục hải quan; kiểm tra, giám sát hải quan; thuế xuất khẩu, thuế nhập khẩu và quản lý thuế đối với hàng hoá xuất khẩu, nhập khẩu.</w:t>
      </w:r>
    </w:p>
    <w:p w:rsidR="00655B9C" w:rsidRDefault="00655B9C" w:rsidP="00655B9C">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73" w:rsidRDefault="002A1573" w:rsidP="00181492">
      <w:pPr>
        <w:spacing w:after="0" w:line="240" w:lineRule="auto"/>
      </w:pPr>
      <w:r>
        <w:separator/>
      </w:r>
    </w:p>
  </w:endnote>
  <w:endnote w:type="continuationSeparator" w:id="0">
    <w:p w:rsidR="002A1573" w:rsidRDefault="002A1573"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73" w:rsidRDefault="002A1573" w:rsidP="00181492">
      <w:pPr>
        <w:spacing w:after="0" w:line="240" w:lineRule="auto"/>
      </w:pPr>
      <w:r>
        <w:separator/>
      </w:r>
    </w:p>
  </w:footnote>
  <w:footnote w:type="continuationSeparator" w:id="0">
    <w:p w:rsidR="002A1573" w:rsidRDefault="002A1573"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2A1573"/>
    <w:rsid w:val="00655B9C"/>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55B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655B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20997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888</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2021-08-11T01:31:00Z</dcterms:modified>
</cp:coreProperties>
</file>